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480DE">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eastAsiaTheme="minorEastAsia"/>
          <w:b/>
          <w:color w:val="auto"/>
          <w:sz w:val="32"/>
          <w:szCs w:val="32"/>
          <w:highlight w:val="none"/>
        </w:rPr>
      </w:pPr>
      <w:r>
        <w:rPr>
          <w:rFonts w:hint="eastAsia" w:ascii="Times New Roman" w:hAnsi="Times New Roman" w:cs="Times New Roman" w:eastAsiaTheme="minorEastAsia"/>
          <w:b/>
          <w:color w:val="auto"/>
          <w:sz w:val="32"/>
          <w:szCs w:val="32"/>
          <w:highlight w:val="none"/>
        </w:rPr>
        <w:t>安徽牛山矿山科技有限公司资源综合利用及环境提升</w:t>
      </w:r>
    </w:p>
    <w:p w14:paraId="39DB69DA">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eastAsiaTheme="minorEastAsia"/>
          <w:b/>
          <w:color w:val="auto"/>
          <w:sz w:val="32"/>
          <w:szCs w:val="32"/>
          <w:highlight w:val="none"/>
        </w:rPr>
      </w:pPr>
      <w:r>
        <w:rPr>
          <w:rFonts w:hint="eastAsia" w:ascii="Times New Roman" w:hAnsi="Times New Roman" w:cs="Times New Roman" w:eastAsiaTheme="minorEastAsia"/>
          <w:b/>
          <w:color w:val="auto"/>
          <w:sz w:val="32"/>
          <w:szCs w:val="32"/>
          <w:highlight w:val="none"/>
        </w:rPr>
        <w:t>改造项目</w:t>
      </w:r>
      <w:r>
        <w:rPr>
          <w:rFonts w:hint="default" w:ascii="Times New Roman" w:hAnsi="Times New Roman" w:cs="Times New Roman" w:eastAsiaTheme="minorEastAsia"/>
          <w:b/>
          <w:color w:val="auto"/>
          <w:sz w:val="32"/>
          <w:szCs w:val="32"/>
          <w:highlight w:val="none"/>
        </w:rPr>
        <w:t>竣工环境保护验收意见</w:t>
      </w:r>
    </w:p>
    <w:p w14:paraId="3B6F2841">
      <w:pPr>
        <w:keepNext w:val="0"/>
        <w:keepLines w:val="0"/>
        <w:pageBreakBefore w:val="0"/>
        <w:widowControl w:val="0"/>
        <w:kinsoku/>
        <w:wordWrap/>
        <w:overflowPunct/>
        <w:topLinePunct w:val="0"/>
        <w:autoSpaceDE w:val="0"/>
        <w:autoSpaceDN w:val="0"/>
        <w:bidi w:val="0"/>
        <w:adjustRightInd/>
        <w:snapToGrid/>
        <w:ind w:firstLine="0" w:firstLineChars="0"/>
        <w:jc w:val="both"/>
        <w:textAlignment w:val="auto"/>
        <w:rPr>
          <w:rFonts w:hint="default" w:ascii="Times New Roman" w:hAnsi="Times New Roman" w:cs="Times New Roman" w:eastAsiaTheme="minorEastAsia"/>
          <w:b/>
          <w:color w:val="auto"/>
          <w:sz w:val="32"/>
          <w:szCs w:val="32"/>
          <w:highlight w:val="none"/>
        </w:rPr>
      </w:pPr>
    </w:p>
    <w:p w14:paraId="5D6A7D64">
      <w:pPr>
        <w:bidi w:val="0"/>
        <w:rPr>
          <w:rFonts w:hint="default"/>
        </w:rPr>
      </w:pPr>
      <w:r>
        <w:rPr>
          <w:rFonts w:hint="eastAsia"/>
          <w:lang w:val="en-US" w:eastAsia="zh-CN"/>
        </w:rPr>
        <w:t>2026年4月30日，安徽牛山矿山科技有限公司根据《安徽牛山矿山科技有限公司资源综合利用及环境提升改造项目竣工环境保护验收报告》</w:t>
      </w:r>
      <w:r>
        <w:rPr>
          <w:rFonts w:hint="default"/>
          <w:lang w:eastAsia="zh-CN"/>
        </w:rPr>
        <w:t>，</w:t>
      </w:r>
      <w:r>
        <w:rPr>
          <w:rFonts w:hint="default"/>
        </w:rPr>
        <w:t>并对照《建设项目竣工环境保护验收暂行办法》，严格依照国家有关法律法规、建设项目竣工环境保护验收技术规范、本项目环境影响报告</w:t>
      </w:r>
      <w:r>
        <w:rPr>
          <w:rFonts w:hint="eastAsia"/>
          <w:lang w:val="en-US" w:eastAsia="zh-CN"/>
        </w:rPr>
        <w:t>书</w:t>
      </w:r>
      <w:r>
        <w:rPr>
          <w:rFonts w:hint="default"/>
          <w:lang w:eastAsia="zh-CN"/>
        </w:rPr>
        <w:t>和</w:t>
      </w:r>
      <w:r>
        <w:rPr>
          <w:rFonts w:hint="default"/>
        </w:rPr>
        <w:t>环评批复等要求对本项目进行验收，提出意见如下：</w:t>
      </w:r>
    </w:p>
    <w:p w14:paraId="7A85AC69">
      <w:pPr>
        <w:numPr>
          <w:ilvl w:val="0"/>
          <w:numId w:val="0"/>
        </w:numPr>
        <w:bidi w:val="0"/>
        <w:ind w:firstLine="482" w:firstLineChars="200"/>
        <w:rPr>
          <w:rFonts w:hint="eastAsia"/>
          <w:b/>
          <w:bCs/>
          <w:lang w:val="en-US" w:eastAsia="zh-CN"/>
        </w:rPr>
      </w:pPr>
      <w:r>
        <w:rPr>
          <w:rFonts w:hint="eastAsia" w:ascii="Times New Roman" w:hAnsi="Times New Roman" w:eastAsia="宋体" w:cs="Times New Roman"/>
          <w:b/>
          <w:bCs/>
          <w:kern w:val="2"/>
          <w:sz w:val="24"/>
          <w:szCs w:val="24"/>
          <w:lang w:val="en-US" w:eastAsia="zh-CN" w:bidi="ar-SA"/>
        </w:rPr>
        <w:t>一、</w:t>
      </w:r>
      <w:r>
        <w:rPr>
          <w:rFonts w:hint="eastAsia"/>
          <w:b/>
          <w:bCs/>
          <w:lang w:val="en-US" w:eastAsia="zh-CN"/>
        </w:rPr>
        <w:t>工程建设内容</w:t>
      </w:r>
    </w:p>
    <w:p w14:paraId="31E93AA3">
      <w:pPr>
        <w:bidi w:val="0"/>
        <w:rPr>
          <w:rFonts w:hint="default"/>
          <w:lang w:val="en-US" w:eastAsia="zh-CN"/>
        </w:rPr>
      </w:pPr>
      <w:r>
        <w:rPr>
          <w:rFonts w:hint="default"/>
          <w:lang w:val="en-US" w:eastAsia="zh-CN"/>
        </w:rPr>
        <w:t>（一）建设地点、规模、主要建设内容</w:t>
      </w:r>
    </w:p>
    <w:p w14:paraId="532D380E">
      <w:pPr>
        <w:keepNext w:val="0"/>
        <w:keepLines w:val="0"/>
        <w:pageBreakBefore w:val="0"/>
        <w:kinsoku/>
        <w:wordWrap/>
        <w:overflowPunct/>
        <w:topLinePunct w:val="0"/>
        <w:bidi w:val="0"/>
        <w:spacing w:before="0" w:line="360" w:lineRule="auto"/>
        <w:ind w:firstLine="480" w:firstLineChars="200"/>
        <w:contextualSpacing/>
        <w:textAlignment w:val="auto"/>
        <w:rPr>
          <w:rFonts w:hint="eastAsia" w:ascii="Times New Roman" w:hAnsi="Times New Roman" w:cs="Times New Roman"/>
          <w:sz w:val="24"/>
          <w:szCs w:val="24"/>
          <w:highlight w:val="none"/>
          <w:lang w:val="en-US" w:eastAsia="zh-CN"/>
        </w:rPr>
      </w:pPr>
      <w:r>
        <w:rPr>
          <w:rFonts w:hint="default"/>
          <w:lang w:val="en-US" w:eastAsia="zh-CN"/>
        </w:rPr>
        <w:t>安徽牛山矿山科技有限公司资源综合利用及环境提升改造项目位于安徽省铜陵市义安区新桥办事处新建村，项目占地面积约34179m</w:t>
      </w:r>
      <w:r>
        <w:rPr>
          <w:rFonts w:hint="default"/>
          <w:vertAlign w:val="superscript"/>
          <w:lang w:val="en-US" w:eastAsia="zh-CN"/>
        </w:rPr>
        <w:t>2</w:t>
      </w:r>
      <w:r>
        <w:rPr>
          <w:rFonts w:hint="eastAsia" w:ascii="Times New Roman" w:hAnsi="Times New Roman" w:cs="Times New Roman"/>
          <w:sz w:val="24"/>
          <w:szCs w:val="24"/>
          <w:highlight w:val="none"/>
          <w:lang w:val="en-US" w:eastAsia="zh-CN"/>
        </w:rPr>
        <w:t>。建设内容为</w:t>
      </w:r>
      <w:r>
        <w:rPr>
          <w:rFonts w:hint="eastAsia"/>
          <w:lang w:val="en-US" w:eastAsia="zh-CN"/>
        </w:rPr>
        <w:t>废石破碎加工150万吨/年（大厂90万吨/年，小厂60万吨/年）项目及配套工程</w:t>
      </w:r>
      <w:r>
        <w:t>生产设施及辅助、环保设施。</w:t>
      </w:r>
      <w:r>
        <w:rPr>
          <w:rFonts w:hint="eastAsia" w:ascii="Times New Roman" w:hAnsi="Times New Roman" w:cs="Times New Roman"/>
          <w:sz w:val="24"/>
          <w:szCs w:val="24"/>
          <w:highlight w:val="none"/>
          <w:lang w:val="en-US" w:eastAsia="zh-CN"/>
        </w:rPr>
        <w:t>项目建设性质为技术改造。</w:t>
      </w:r>
    </w:p>
    <w:p w14:paraId="33FBF465">
      <w:pPr>
        <w:pStyle w:val="7"/>
        <w:keepNext w:val="0"/>
        <w:keepLines w:val="0"/>
        <w:pageBreakBefore w:val="0"/>
        <w:numPr>
          <w:ilvl w:val="0"/>
          <w:numId w:val="0"/>
        </w:numPr>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（二）建设过程及环保审批情况</w:t>
      </w:r>
    </w:p>
    <w:p w14:paraId="4416668B">
      <w:pPr>
        <w:pStyle w:val="2"/>
        <w:rPr>
          <w:rFonts w:hint="default"/>
          <w:lang w:val="en-US" w:eastAsia="zh-CN"/>
        </w:rPr>
      </w:pPr>
      <w:r>
        <w:rPr>
          <w:rFonts w:hint="default"/>
          <w:lang w:val="en-US" w:eastAsia="zh-CN"/>
        </w:rPr>
        <w:t>2024年7月31日</w:t>
      </w:r>
      <w:r>
        <w:rPr>
          <w:rFonts w:hint="eastAsia"/>
          <w:lang w:val="en-US" w:eastAsia="zh-CN"/>
        </w:rPr>
        <w:t>，</w:t>
      </w:r>
      <w:r>
        <w:rPr>
          <w:rFonts w:hint="default"/>
          <w:lang w:val="en-US" w:eastAsia="zh-CN"/>
        </w:rPr>
        <w:t>项目取得铜陵市义安区发展和改革委员会项目备案，项目代码2407-340721-07-02-236450。</w:t>
      </w:r>
    </w:p>
    <w:p w14:paraId="22CC6633">
      <w:pPr>
        <w:pStyle w:val="2"/>
        <w:rPr>
          <w:rFonts w:hint="eastAsia"/>
          <w:lang w:val="en-US" w:eastAsia="zh-CN"/>
        </w:rPr>
      </w:pPr>
      <w:r>
        <w:rPr>
          <w:rFonts w:hint="default"/>
          <w:lang w:val="en-US" w:eastAsia="zh-CN"/>
        </w:rPr>
        <w:t>2025年2月</w:t>
      </w:r>
      <w:r>
        <w:rPr>
          <w:rFonts w:hint="eastAsia"/>
          <w:lang w:val="en-US" w:eastAsia="zh-CN"/>
        </w:rPr>
        <w:t>，</w:t>
      </w:r>
      <w:r>
        <w:rPr>
          <w:rFonts w:hint="default"/>
          <w:lang w:val="en-US" w:eastAsia="zh-CN"/>
        </w:rPr>
        <w:t>安徽牛山矿山科技有限公司</w:t>
      </w:r>
      <w:r>
        <w:rPr>
          <w:rFonts w:hint="eastAsia"/>
          <w:lang w:val="en-US" w:eastAsia="zh-CN"/>
        </w:rPr>
        <w:t>委托</w:t>
      </w:r>
      <w:r>
        <w:rPr>
          <w:rFonts w:hint="default"/>
          <w:lang w:val="en-US" w:eastAsia="zh-CN"/>
        </w:rPr>
        <w:t>安徽中禹环境工程技术有限公司于编制完成《安徽牛山矿山科技有限公司资源综合利用及环境提升改造项目环境影响报告表》</w:t>
      </w:r>
      <w:r>
        <w:rPr>
          <w:rFonts w:hint="eastAsia"/>
          <w:lang w:val="en-US" w:eastAsia="zh-CN"/>
        </w:rPr>
        <w:t>。</w:t>
      </w:r>
    </w:p>
    <w:p w14:paraId="17D31679">
      <w:pPr>
        <w:pStyle w:val="2"/>
        <w:rPr>
          <w:rFonts w:hint="default"/>
          <w:lang w:val="en-US" w:eastAsia="zh-CN"/>
        </w:rPr>
      </w:pPr>
      <w:r>
        <w:rPr>
          <w:rFonts w:hint="default"/>
          <w:lang w:val="en-US" w:eastAsia="zh-CN"/>
        </w:rPr>
        <w:t>2025年2月7日</w:t>
      </w:r>
      <w:r>
        <w:rPr>
          <w:rFonts w:hint="eastAsia"/>
          <w:lang w:val="en-US" w:eastAsia="zh-CN"/>
        </w:rPr>
        <w:t>，</w:t>
      </w:r>
      <w:r>
        <w:rPr>
          <w:rFonts w:hint="default"/>
          <w:lang w:val="en-US" w:eastAsia="zh-CN"/>
        </w:rPr>
        <w:t>铜陵市生态环境局于以铜环（义）审[2025]9号文《关于安徽牛山矿山科技有限公司资源综合利用及环境提升改造项目环境影响报告表审批意见的函》对该项目环境影响报告表进行了审批。</w:t>
      </w:r>
    </w:p>
    <w:p w14:paraId="3FCA057D">
      <w:pPr>
        <w:bidi w:val="0"/>
        <w:rPr>
          <w:rFonts w:hint="default"/>
          <w:lang w:val="en-US" w:eastAsia="zh-CN"/>
        </w:rPr>
      </w:pPr>
      <w:r>
        <w:rPr>
          <w:rFonts w:hint="default"/>
          <w:lang w:val="en-US" w:eastAsia="zh-CN"/>
        </w:rPr>
        <w:t>2025年3月1日</w:t>
      </w:r>
      <w:r>
        <w:rPr>
          <w:rFonts w:hint="eastAsia"/>
          <w:lang w:val="en-US" w:eastAsia="zh-CN"/>
        </w:rPr>
        <w:t>项目</w:t>
      </w:r>
      <w:r>
        <w:rPr>
          <w:rFonts w:hint="default"/>
          <w:lang w:val="en-US" w:eastAsia="zh-CN"/>
        </w:rPr>
        <w:t>开工建设，于2025年4月18日建设完成，2025年5月进入调试。</w:t>
      </w:r>
      <w:r>
        <w:rPr>
          <w:rFonts w:hint="eastAsia"/>
          <w:lang w:val="en-US" w:eastAsia="zh-CN"/>
        </w:rPr>
        <w:t>2025年5月，</w:t>
      </w:r>
      <w:r>
        <w:rPr>
          <w:rFonts w:hint="default"/>
          <w:lang w:val="en-US" w:eastAsia="zh-CN"/>
        </w:rPr>
        <w:t>安徽牛山矿山科技有限公司资源综合利用及环境提升改造项已根据《固定污染源排污许可分类管理名录》要求完成排污许可登记，登记编号：91340706MADHEYD758001W。</w:t>
      </w:r>
    </w:p>
    <w:p w14:paraId="00D8BD05">
      <w:pPr>
        <w:pStyle w:val="2"/>
        <w:rPr>
          <w:rStyle w:val="16"/>
          <w:rFonts w:hint="default" w:ascii="Times New Roman" w:hAnsi="Times New Roman" w:eastAsia="宋体" w:cs="Times New Roman"/>
          <w:color w:val="auto"/>
          <w:kern w:val="2"/>
          <w:sz w:val="24"/>
          <w:szCs w:val="24"/>
          <w:highlight w:val="none"/>
          <w:lang w:val="en-US" w:eastAsia="zh-CN" w:bidi="ar-SA"/>
        </w:rPr>
      </w:pPr>
      <w:r>
        <w:rPr>
          <w:rFonts w:hint="eastAsia"/>
          <w:lang w:val="en-US" w:eastAsia="zh-CN"/>
        </w:rPr>
        <w:t>2025年4月29日，</w:t>
      </w:r>
      <w:r>
        <w:rPr>
          <w:rFonts w:hint="default"/>
          <w:lang w:val="en-US" w:eastAsia="zh-CN"/>
        </w:rPr>
        <w:t>安徽牛山矿山科技有限公司</w:t>
      </w:r>
      <w:r>
        <w:rPr>
          <w:rStyle w:val="16"/>
          <w:rFonts w:hint="default" w:ascii="Times New Roman" w:hAnsi="Times New Roman" w:eastAsia="宋体" w:cs="Times New Roman"/>
          <w:color w:val="auto"/>
          <w:kern w:val="2"/>
          <w:sz w:val="24"/>
          <w:szCs w:val="24"/>
          <w:highlight w:val="none"/>
          <w:lang w:val="en-US" w:eastAsia="zh-CN" w:bidi="ar-SA"/>
        </w:rPr>
        <w:t>完成企业突发环境事件应急预案备案工作，备案编号为“34070</w:t>
      </w:r>
      <w:r>
        <w:rPr>
          <w:rStyle w:val="16"/>
          <w:rFonts w:hint="eastAsia" w:ascii="Times New Roman" w:hAnsi="Times New Roman" w:eastAsia="宋体" w:cs="Times New Roman"/>
          <w:color w:val="auto"/>
          <w:kern w:val="2"/>
          <w:sz w:val="24"/>
          <w:szCs w:val="24"/>
          <w:highlight w:val="none"/>
          <w:lang w:val="en-US" w:eastAsia="zh-CN" w:bidi="ar-SA"/>
        </w:rPr>
        <w:t>6</w:t>
      </w:r>
      <w:r>
        <w:rPr>
          <w:rStyle w:val="16"/>
          <w:rFonts w:hint="default" w:ascii="Times New Roman" w:hAnsi="Times New Roman" w:eastAsia="宋体" w:cs="Times New Roman"/>
          <w:color w:val="auto"/>
          <w:kern w:val="2"/>
          <w:sz w:val="24"/>
          <w:szCs w:val="24"/>
          <w:highlight w:val="none"/>
          <w:lang w:val="en-US" w:eastAsia="zh-CN" w:bidi="ar-SA"/>
        </w:rPr>
        <w:t>-202</w:t>
      </w:r>
      <w:r>
        <w:rPr>
          <w:rStyle w:val="16"/>
          <w:rFonts w:hint="eastAsia" w:ascii="Times New Roman" w:hAnsi="Times New Roman" w:eastAsia="宋体" w:cs="Times New Roman"/>
          <w:color w:val="auto"/>
          <w:kern w:val="2"/>
          <w:sz w:val="24"/>
          <w:szCs w:val="24"/>
          <w:highlight w:val="none"/>
          <w:lang w:val="en-US" w:eastAsia="zh-CN" w:bidi="ar-SA"/>
        </w:rPr>
        <w:t>6</w:t>
      </w:r>
      <w:r>
        <w:rPr>
          <w:rStyle w:val="16"/>
          <w:rFonts w:hint="default" w:ascii="Times New Roman" w:hAnsi="Times New Roman" w:eastAsia="宋体" w:cs="Times New Roman"/>
          <w:color w:val="auto"/>
          <w:kern w:val="2"/>
          <w:sz w:val="24"/>
          <w:szCs w:val="24"/>
          <w:highlight w:val="none"/>
          <w:lang w:val="en-US" w:eastAsia="zh-CN" w:bidi="ar-SA"/>
        </w:rPr>
        <w:t>-0</w:t>
      </w:r>
      <w:r>
        <w:rPr>
          <w:rStyle w:val="16"/>
          <w:rFonts w:hint="eastAsia" w:ascii="Times New Roman" w:hAnsi="Times New Roman" w:eastAsia="宋体" w:cs="Times New Roman"/>
          <w:color w:val="auto"/>
          <w:kern w:val="2"/>
          <w:sz w:val="24"/>
          <w:szCs w:val="24"/>
          <w:highlight w:val="none"/>
          <w:lang w:val="en-US" w:eastAsia="zh-CN" w:bidi="ar-SA"/>
        </w:rPr>
        <w:t>1</w:t>
      </w:r>
      <w:r>
        <w:rPr>
          <w:rStyle w:val="16"/>
          <w:rFonts w:hint="default" w:ascii="Times New Roman" w:hAnsi="Times New Roman" w:eastAsia="宋体" w:cs="Times New Roman"/>
          <w:color w:val="auto"/>
          <w:kern w:val="2"/>
          <w:sz w:val="24"/>
          <w:szCs w:val="24"/>
          <w:highlight w:val="none"/>
          <w:lang w:val="en-US" w:eastAsia="zh-CN" w:bidi="ar-SA"/>
        </w:rPr>
        <w:t>0-</w:t>
      </w:r>
      <w:r>
        <w:rPr>
          <w:rStyle w:val="16"/>
          <w:rFonts w:hint="eastAsia" w:ascii="Times New Roman" w:hAnsi="Times New Roman" w:eastAsia="宋体" w:cs="Times New Roman"/>
          <w:color w:val="auto"/>
          <w:kern w:val="2"/>
          <w:sz w:val="24"/>
          <w:szCs w:val="24"/>
          <w:highlight w:val="none"/>
          <w:lang w:val="en-US" w:eastAsia="zh-CN" w:bidi="ar-SA"/>
        </w:rPr>
        <w:t>L</w:t>
      </w:r>
      <w:r>
        <w:rPr>
          <w:rStyle w:val="16"/>
          <w:rFonts w:hint="default" w:ascii="Times New Roman" w:hAnsi="Times New Roman" w:eastAsia="宋体" w:cs="Times New Roman"/>
          <w:color w:val="auto"/>
          <w:kern w:val="2"/>
          <w:sz w:val="24"/>
          <w:szCs w:val="24"/>
          <w:highlight w:val="none"/>
          <w:lang w:val="en-US" w:eastAsia="zh-CN" w:bidi="ar-SA"/>
        </w:rPr>
        <w:t>”，风险级别为：</w:t>
      </w:r>
      <w:r>
        <w:rPr>
          <w:rStyle w:val="16"/>
          <w:rFonts w:hint="eastAsia" w:ascii="Times New Roman" w:hAnsi="Times New Roman" w:eastAsia="宋体" w:cs="Times New Roman"/>
          <w:color w:val="auto"/>
          <w:kern w:val="2"/>
          <w:sz w:val="24"/>
          <w:szCs w:val="24"/>
          <w:highlight w:val="none"/>
          <w:lang w:val="en-US" w:eastAsia="zh-CN" w:bidi="ar-SA"/>
        </w:rPr>
        <w:t>一般</w:t>
      </w:r>
      <w:r>
        <w:rPr>
          <w:rStyle w:val="16"/>
          <w:rFonts w:hint="default" w:ascii="Times New Roman" w:hAnsi="Times New Roman" w:eastAsia="宋体" w:cs="Times New Roman"/>
          <w:color w:val="auto"/>
          <w:kern w:val="2"/>
          <w:sz w:val="24"/>
          <w:szCs w:val="24"/>
          <w:highlight w:val="none"/>
          <w:lang w:val="en-US" w:eastAsia="zh-CN" w:bidi="ar-SA"/>
        </w:rPr>
        <w:t>。</w:t>
      </w:r>
    </w:p>
    <w:p w14:paraId="35880B9C">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（三）投资情况</w:t>
      </w:r>
    </w:p>
    <w:p w14:paraId="691CB653">
      <w:pPr>
        <w:pStyle w:val="2"/>
        <w:rPr>
          <w:rFonts w:hint="eastAsia"/>
          <w:lang w:val="en-US" w:eastAsia="zh-CN"/>
        </w:rPr>
      </w:pPr>
      <w:r>
        <w:rPr>
          <w:rFonts w:hint="default"/>
          <w:lang w:val="en-US" w:eastAsia="zh-CN"/>
        </w:rPr>
        <w:t>总投资</w:t>
      </w:r>
      <w:r>
        <w:rPr>
          <w:rFonts w:hint="eastAsia"/>
          <w:lang w:val="en-US" w:eastAsia="zh-CN"/>
        </w:rPr>
        <w:t>4210</w:t>
      </w:r>
      <w:r>
        <w:rPr>
          <w:rFonts w:hint="default"/>
          <w:lang w:val="en-US" w:eastAsia="zh-CN"/>
        </w:rPr>
        <w:t>万元，其中环保投资</w:t>
      </w:r>
      <w:r>
        <w:rPr>
          <w:rFonts w:hint="eastAsia"/>
          <w:lang w:val="en-US" w:eastAsia="zh-CN"/>
        </w:rPr>
        <w:t>65</w:t>
      </w:r>
      <w:r>
        <w:rPr>
          <w:rFonts w:hint="default"/>
          <w:lang w:val="en-US" w:eastAsia="zh-CN"/>
        </w:rPr>
        <w:t>万元</w:t>
      </w:r>
      <w:r>
        <w:rPr>
          <w:rFonts w:hint="eastAsia"/>
          <w:lang w:val="en-US" w:eastAsia="zh-CN"/>
        </w:rPr>
        <w:t>，</w:t>
      </w:r>
      <w:r>
        <w:rPr>
          <w:rFonts w:hint="default" w:ascii="Times New Roman" w:hAnsi="Times New Roman" w:cs="Times New Roman"/>
          <w:color w:val="auto"/>
          <w:sz w:val="24"/>
          <w:szCs w:val="24"/>
          <w:highlight w:val="none"/>
          <w:u w:val="none"/>
          <w:lang w:val="en-US" w:eastAsia="zh-CN"/>
        </w:rPr>
        <w:t>占总投资额的1.</w:t>
      </w:r>
      <w:r>
        <w:rPr>
          <w:rFonts w:hint="eastAsia" w:ascii="Times New Roman" w:hAnsi="Times New Roman" w:cs="Times New Roman"/>
          <w:color w:val="auto"/>
          <w:sz w:val="24"/>
          <w:szCs w:val="24"/>
          <w:highlight w:val="none"/>
          <w:u w:val="none"/>
          <w:lang w:val="en-US" w:eastAsia="zh-CN"/>
        </w:rPr>
        <w:t>54</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rPr>
        <w:t>。</w:t>
      </w:r>
    </w:p>
    <w:p w14:paraId="3724138B">
      <w:pPr>
        <w:pStyle w:val="7"/>
        <w:keepNext w:val="0"/>
        <w:keepLines w:val="0"/>
        <w:pageBreakBefore w:val="0"/>
        <w:widowControl w:val="0"/>
        <w:numPr>
          <w:ilvl w:val="0"/>
          <w:numId w:val="1"/>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验收范围</w:t>
      </w:r>
    </w:p>
    <w:p w14:paraId="60691F55">
      <w:pPr>
        <w:bidi w:val="0"/>
        <w:rPr>
          <w:rFonts w:hint="default"/>
          <w:lang w:val="en-US" w:eastAsia="zh-CN"/>
        </w:rPr>
      </w:pPr>
      <w:r>
        <w:rPr>
          <w:rFonts w:hint="eastAsia"/>
          <w:lang w:val="en-US" w:eastAsia="zh-CN"/>
        </w:rPr>
        <w:t>本次针对《安徽牛山矿山科技有限公司资源综合利用及环境提升改造项目》及其批复包含内容整体验收，验收内容为已建成废石破碎加工150万吨/年（大厂90万吨/年，小厂60万吨/年）项目及配套工程</w:t>
      </w:r>
      <w:r>
        <w:t>生产设施及辅助、环保设施。</w:t>
      </w:r>
    </w:p>
    <w:p w14:paraId="7444392A">
      <w:pPr>
        <w:bidi w:val="0"/>
        <w:rPr>
          <w:rFonts w:hint="default"/>
          <w:b/>
          <w:bCs/>
        </w:rPr>
      </w:pPr>
      <w:r>
        <w:rPr>
          <w:rFonts w:hint="default"/>
          <w:b/>
          <w:bCs/>
        </w:rPr>
        <w:t>二、工程变动情况</w:t>
      </w:r>
    </w:p>
    <w:p w14:paraId="05E31FF8">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对照本项目环评报告书及审批部门批复内容，</w:t>
      </w:r>
      <w:r>
        <w:rPr>
          <w:rFonts w:hint="default" w:ascii="Times New Roman" w:hAnsi="Times New Roman" w:eastAsia="宋体" w:cs="Times New Roman"/>
          <w:color w:val="auto"/>
          <w:kern w:val="0"/>
          <w:sz w:val="24"/>
          <w:szCs w:val="24"/>
          <w:highlight w:val="none"/>
          <w:lang w:val="en-US" w:eastAsia="zh-CN"/>
        </w:rPr>
        <w:t>项目变动情况为</w:t>
      </w:r>
      <w:r>
        <w:rPr>
          <w:rFonts w:hint="default" w:ascii="Times New Roman" w:hAnsi="Times New Roman" w:eastAsia="宋体" w:cs="Times New Roman"/>
          <w:color w:val="auto"/>
          <w:kern w:val="0"/>
          <w:sz w:val="24"/>
          <w:szCs w:val="24"/>
          <w:highlight w:val="none"/>
          <w:lang w:eastAsia="zh-CN"/>
        </w:rPr>
        <w:t>：</w:t>
      </w:r>
    </w:p>
    <w:p w14:paraId="56FEE65E">
      <w:pPr>
        <w:widowControl w:val="0"/>
        <w:numPr>
          <w:ilvl w:val="0"/>
          <w:numId w:val="2"/>
        </w:numPr>
        <w:rPr>
          <w:rFonts w:hint="eastAsia"/>
          <w:lang w:val="en-US" w:eastAsia="zh-CN"/>
        </w:rPr>
      </w:pPr>
      <w:r>
        <w:rPr>
          <w:rFonts w:hint="eastAsia"/>
          <w:lang w:val="en-US" w:eastAsia="zh-CN"/>
        </w:rPr>
        <w:t>项目大厂原圆锥破与筛分工序产生的废气收集后由一套旋风＋袋式除尘设备处理后经DA001（15m）有组织排放，为提高废气收集处理效率，实际建设中将圆锥破产生的废气收集后单独由TA002旋风＋袋式除尘设备处理后排放，筛分工序产生的废气新增一套旋风＋袋式除尘设备处理后经DA003（15m）有组织排放。该变动不涉及新增污染物种类和排放量。</w:t>
      </w:r>
    </w:p>
    <w:p w14:paraId="40BC2D71">
      <w:pPr>
        <w:widowControl w:val="0"/>
        <w:numPr>
          <w:ilvl w:val="0"/>
          <w:numId w:val="2"/>
        </w:numPr>
        <w:rPr>
          <w:rFonts w:hint="default"/>
          <w:lang w:val="en-US" w:eastAsia="zh-CN"/>
        </w:rPr>
      </w:pPr>
      <w:r>
        <w:rPr>
          <w:rFonts w:hint="eastAsia"/>
          <w:lang w:val="en-US" w:eastAsia="zh-CN"/>
        </w:rPr>
        <w:t>项目小厂原筛分工序与原料堆场废气均为喷淋降尘，为降低无组织排放，实际建设中将筛分工序和原料堆场产生的废气进行收集，合并后新增一套旋风＋袋式除尘设备处理后经DA006（25m）排放，该变动属于污染防治强化的有利变动。</w:t>
      </w:r>
    </w:p>
    <w:p w14:paraId="5FB0D8F7">
      <w:pPr>
        <w:pStyle w:val="2"/>
        <w:rPr>
          <w:rFonts w:hint="default"/>
          <w:lang w:val="en-US" w:eastAsia="zh-CN"/>
        </w:rPr>
      </w:pPr>
      <w:r>
        <w:rPr>
          <w:rFonts w:hint="default"/>
          <w:lang w:val="en-US" w:eastAsia="zh-CN"/>
        </w:rPr>
        <w:t>对照关于印发《污染影响类建设项目重大变动清单(试行)》的通知(环办环评函(2020)688号)中要求，以上变动不属于重大变动。</w:t>
      </w:r>
    </w:p>
    <w:p w14:paraId="3E8928BC">
      <w:pPr>
        <w:numPr>
          <w:ilvl w:val="0"/>
          <w:numId w:val="0"/>
        </w:numPr>
        <w:bidi w:val="0"/>
        <w:ind w:left="0" w:leftChars="0" w:firstLine="482" w:firstLineChars="200"/>
        <w:rPr>
          <w:rFonts w:hint="default"/>
          <w:b/>
          <w:bCs/>
          <w:lang w:val="en-US" w:eastAsia="zh-CN"/>
        </w:rPr>
      </w:pPr>
      <w:r>
        <w:rPr>
          <w:rFonts w:hint="eastAsia" w:ascii="Times New Roman" w:hAnsi="Times New Roman" w:eastAsia="宋体" w:cs="Times New Roman"/>
          <w:b/>
          <w:bCs/>
          <w:kern w:val="2"/>
          <w:sz w:val="24"/>
          <w:szCs w:val="24"/>
          <w:lang w:val="en-US" w:eastAsia="zh-CN" w:bidi="ar-SA"/>
        </w:rPr>
        <w:t>三、</w:t>
      </w:r>
      <w:r>
        <w:rPr>
          <w:rFonts w:hint="default"/>
          <w:b/>
          <w:bCs/>
          <w:lang w:val="en-US" w:eastAsia="zh-CN"/>
        </w:rPr>
        <w:t>环境保护设施建设情况</w:t>
      </w:r>
    </w:p>
    <w:p w14:paraId="281508C0">
      <w:pPr>
        <w:numPr>
          <w:ilvl w:val="0"/>
          <w:numId w:val="3"/>
        </w:numPr>
        <w:bidi w:val="0"/>
        <w:rPr>
          <w:rFonts w:hint="eastAsia"/>
          <w:lang w:val="en-US" w:eastAsia="zh-CN"/>
        </w:rPr>
      </w:pPr>
      <w:r>
        <w:rPr>
          <w:rFonts w:hint="eastAsia"/>
          <w:lang w:val="en-US" w:eastAsia="zh-CN"/>
        </w:rPr>
        <w:t>废水</w:t>
      </w:r>
    </w:p>
    <w:p w14:paraId="3EA16D3B">
      <w:pPr>
        <w:widowControl w:val="0"/>
        <w:bidi w:val="0"/>
        <w:rPr>
          <w:rFonts w:hint="eastAsia"/>
          <w:lang w:val="en-US" w:eastAsia="zh-CN"/>
        </w:rPr>
      </w:pPr>
      <w:r>
        <w:t>本项目生活污水经化粪池收集后，委托周边农户定期清掏，用于农田灌溉，不外排；生产废水（车辆冲洗废水）经沉淀池沉淀处理后回用，不外排车辆冲洗废水不纳入本次评价范围。</w:t>
      </w:r>
    </w:p>
    <w:p w14:paraId="51913963">
      <w:pPr>
        <w:numPr>
          <w:ilvl w:val="0"/>
          <w:numId w:val="3"/>
        </w:numPr>
        <w:bidi w:val="0"/>
        <w:ind w:left="0" w:leftChars="0" w:firstLine="480" w:firstLineChars="200"/>
        <w:rPr>
          <w:rFonts w:hint="eastAsia"/>
          <w:lang w:val="en-US" w:eastAsia="zh-CN"/>
        </w:rPr>
      </w:pPr>
      <w:r>
        <w:rPr>
          <w:rFonts w:hint="eastAsia"/>
          <w:lang w:val="en-US" w:eastAsia="zh-CN"/>
        </w:rPr>
        <w:t>废气</w:t>
      </w:r>
    </w:p>
    <w:p w14:paraId="6C5153EE">
      <w:pPr>
        <w:bidi w:val="0"/>
        <w:rPr>
          <w:rFonts w:hint="eastAsia"/>
          <w:lang w:val="en-US" w:eastAsia="zh-CN"/>
        </w:rPr>
      </w:pPr>
      <w:r>
        <w:rPr>
          <w:rFonts w:hint="default"/>
          <w:lang w:val="en-US" w:eastAsia="zh-CN"/>
        </w:rPr>
        <w:t>大厂产生的废气主要为包括：卸料鄂破粉尘、圆锥破粉尘、筛分粉尘、皮带转运粉尘、皮带卸料粉尘、石料堆场粉尘。</w:t>
      </w:r>
      <w:r>
        <w:rPr>
          <w:rFonts w:hint="eastAsia"/>
          <w:lang w:val="en-US" w:eastAsia="zh-CN"/>
        </w:rPr>
        <w:t>大厂卸料</w:t>
      </w:r>
      <w:r>
        <w:t>废气经集气罩收集后由旋风+袋式除尘器（TA001）处理后，经15m排气筒（DA001）排放</w:t>
      </w:r>
      <w:r>
        <w:rPr>
          <w:rFonts w:hint="eastAsia"/>
          <w:lang w:eastAsia="zh-CN"/>
        </w:rPr>
        <w:t>；</w:t>
      </w:r>
      <w:r>
        <w:rPr>
          <w:rFonts w:hint="default"/>
          <w:lang w:val="en-US" w:eastAsia="zh-CN"/>
        </w:rPr>
        <w:t>大厂石料在经过投料、鄂破工序后运输到中转仓，然后从中转仓运出经大圆锥破、小圆锥破</w:t>
      </w:r>
      <w:r>
        <w:rPr>
          <w:rFonts w:hint="eastAsia"/>
          <w:lang w:val="en-US" w:eastAsia="zh-CN"/>
        </w:rPr>
        <w:t>，</w:t>
      </w:r>
      <w:r>
        <w:rPr>
          <w:rFonts w:hint="default"/>
          <w:lang w:val="en-US" w:eastAsia="zh-CN"/>
        </w:rPr>
        <w:t>这</w:t>
      </w:r>
      <w:r>
        <w:rPr>
          <w:rFonts w:hint="eastAsia"/>
          <w:lang w:val="en-US" w:eastAsia="zh-CN"/>
        </w:rPr>
        <w:t>2</w:t>
      </w:r>
      <w:r>
        <w:rPr>
          <w:rFonts w:hint="default"/>
          <w:lang w:val="en-US" w:eastAsia="zh-CN"/>
        </w:rPr>
        <w:t>个工序均采用密闭收尘装置收集产生的粉尘，粉尘经旋风+袋式除尘器（TA002）处理后，由20m高排气筒（DA002）有组织排放</w:t>
      </w:r>
      <w:r>
        <w:rPr>
          <w:rFonts w:hint="eastAsia"/>
          <w:lang w:val="en-US" w:eastAsia="zh-CN"/>
        </w:rPr>
        <w:t>；大厂石料的</w:t>
      </w:r>
      <w:r>
        <w:rPr>
          <w:rFonts w:hint="default"/>
          <w:lang w:val="en-US" w:eastAsia="zh-CN"/>
        </w:rPr>
        <w:t>一次筛分、二次筛分</w:t>
      </w:r>
      <w:r>
        <w:rPr>
          <w:rFonts w:hint="eastAsia"/>
          <w:lang w:val="en-US" w:eastAsia="zh-CN"/>
        </w:rPr>
        <w:t>2</w:t>
      </w:r>
      <w:r>
        <w:rPr>
          <w:rFonts w:hint="default"/>
          <w:lang w:val="en-US" w:eastAsia="zh-CN"/>
        </w:rPr>
        <w:t>个工序</w:t>
      </w:r>
      <w:r>
        <w:rPr>
          <w:rFonts w:hint="eastAsia"/>
          <w:lang w:val="en-US" w:eastAsia="zh-CN"/>
        </w:rPr>
        <w:t>产生的粉尘，经密闭收尘装置收集后，由</w:t>
      </w:r>
      <w:r>
        <w:rPr>
          <w:rFonts w:hint="default"/>
          <w:lang w:val="en-US" w:eastAsia="zh-CN"/>
        </w:rPr>
        <w:t>旋风+袋式除尘器</w:t>
      </w:r>
      <w:r>
        <w:rPr>
          <w:rFonts w:hint="eastAsia"/>
          <w:lang w:val="en-US" w:eastAsia="zh-CN"/>
        </w:rPr>
        <w:t>（TA003）</w:t>
      </w:r>
      <w:r>
        <w:rPr>
          <w:rFonts w:hint="default"/>
          <w:lang w:val="en-US" w:eastAsia="zh-CN"/>
        </w:rPr>
        <w:t>处理后，由20m高排气筒（DA00</w:t>
      </w:r>
      <w:r>
        <w:rPr>
          <w:rFonts w:hint="eastAsia"/>
          <w:lang w:val="en-US" w:eastAsia="zh-CN"/>
        </w:rPr>
        <w:t>3</w:t>
      </w:r>
      <w:r>
        <w:rPr>
          <w:rFonts w:hint="default"/>
          <w:lang w:val="en-US" w:eastAsia="zh-CN"/>
        </w:rPr>
        <w:t>）有组织排放</w:t>
      </w:r>
      <w:r>
        <w:rPr>
          <w:rFonts w:hint="eastAsia"/>
          <w:lang w:val="en-US" w:eastAsia="zh-CN"/>
        </w:rPr>
        <w:t>。</w:t>
      </w:r>
    </w:p>
    <w:p w14:paraId="303F1A9B">
      <w:pPr>
        <w:widowControl w:val="0"/>
        <w:bidi w:val="0"/>
        <w:rPr>
          <w:rFonts w:hint="eastAsia"/>
        </w:rPr>
      </w:pPr>
      <w:r>
        <w:t>小厂产生的废气主要为包括：卸料粉尘、原料堆场粉尘、铲车投料粉尘、颚式破碎粉尘、二次鄂破粉尘、老反击破粉尘、新反击破粉尘、筛分粉尘、皮带转运粉尘、皮带卸料粉尘、石料堆场粉尘、石粉仓筒呼吸粉尘。</w:t>
      </w:r>
      <w:r>
        <w:rPr>
          <w:rFonts w:hint="eastAsia"/>
        </w:rPr>
        <w:t>小厂房1号给料机设置</w:t>
      </w:r>
      <w:r>
        <w:rPr>
          <w:rFonts w:hint="eastAsia"/>
          <w:lang w:val="en-US" w:eastAsia="zh-CN"/>
        </w:rPr>
        <w:t>了</w:t>
      </w:r>
      <w:r>
        <w:rPr>
          <w:rFonts w:hint="eastAsia"/>
        </w:rPr>
        <w:t>密闭收尘装置，投料过程产生的废气经收集后由旋风+袋式除尘器（TA00</w:t>
      </w:r>
      <w:r>
        <w:rPr>
          <w:rFonts w:hint="eastAsia"/>
          <w:lang w:val="en-US" w:eastAsia="zh-CN"/>
        </w:rPr>
        <w:t>4</w:t>
      </w:r>
      <w:r>
        <w:rPr>
          <w:rFonts w:hint="eastAsia"/>
        </w:rPr>
        <w:t>）处理后，经25m排气筒（DA00</w:t>
      </w:r>
      <w:r>
        <w:rPr>
          <w:rFonts w:hint="eastAsia"/>
          <w:lang w:val="en-US" w:eastAsia="zh-CN"/>
        </w:rPr>
        <w:t>4</w:t>
      </w:r>
      <w:r>
        <w:rPr>
          <w:rFonts w:hint="eastAsia"/>
        </w:rPr>
        <w:t>）排放</w:t>
      </w:r>
      <w:r>
        <w:rPr>
          <w:rFonts w:hint="eastAsia"/>
          <w:lang w:eastAsia="zh-CN"/>
        </w:rPr>
        <w:t>；</w:t>
      </w:r>
      <w:r>
        <w:rPr>
          <w:rFonts w:hint="eastAsia"/>
        </w:rPr>
        <w:t>小厂石料破碎后共经过一次筛分（二振筛）、二次筛分（三、四振筛）、三次筛分（五振筛）4个工序，振筛均密闭，设置</w:t>
      </w:r>
      <w:r>
        <w:rPr>
          <w:rFonts w:hint="eastAsia"/>
          <w:lang w:val="en-US" w:eastAsia="zh-CN"/>
        </w:rPr>
        <w:t>了</w:t>
      </w:r>
      <w:r>
        <w:rPr>
          <w:rFonts w:hint="eastAsia"/>
        </w:rPr>
        <w:t>密闭收尘装置收集粉尘，由旋风+袋式除尘器（TA00</w:t>
      </w:r>
      <w:r>
        <w:rPr>
          <w:rFonts w:hint="eastAsia"/>
          <w:lang w:val="en-US" w:eastAsia="zh-CN"/>
        </w:rPr>
        <w:t>5</w:t>
      </w:r>
      <w:r>
        <w:rPr>
          <w:rFonts w:hint="eastAsia"/>
        </w:rPr>
        <w:t>）处理粉尘，最终由25m高排气筒（DA00</w:t>
      </w:r>
      <w:r>
        <w:rPr>
          <w:rFonts w:hint="eastAsia"/>
          <w:lang w:val="en-US" w:eastAsia="zh-CN"/>
        </w:rPr>
        <w:t>5</w:t>
      </w:r>
      <w:r>
        <w:rPr>
          <w:rFonts w:hint="eastAsia"/>
        </w:rPr>
        <w:t>）有组织排放</w:t>
      </w:r>
      <w:r>
        <w:rPr>
          <w:rFonts w:hint="eastAsia"/>
          <w:lang w:eastAsia="zh-CN"/>
        </w:rPr>
        <w:t>；</w:t>
      </w:r>
      <w:r>
        <w:rPr>
          <w:rFonts w:hint="eastAsia"/>
          <w:lang w:val="en-US" w:eastAsia="zh-CN"/>
        </w:rPr>
        <w:t>小厂卸料粉尘与原料堆场粉尘经负压收集后，</w:t>
      </w:r>
      <w:r>
        <w:rPr>
          <w:rFonts w:hint="eastAsia"/>
        </w:rPr>
        <w:t>由旋风+袋式除尘器（TA00</w:t>
      </w:r>
      <w:r>
        <w:rPr>
          <w:rFonts w:hint="eastAsia"/>
          <w:lang w:val="en-US" w:eastAsia="zh-CN"/>
        </w:rPr>
        <w:t>6</w:t>
      </w:r>
      <w:r>
        <w:rPr>
          <w:rFonts w:hint="eastAsia"/>
        </w:rPr>
        <w:t>）处理粉尘，最终由25m高排气筒（DA00</w:t>
      </w:r>
      <w:r>
        <w:rPr>
          <w:rFonts w:hint="eastAsia"/>
          <w:lang w:val="en-US" w:eastAsia="zh-CN"/>
        </w:rPr>
        <w:t>6</w:t>
      </w:r>
      <w:r>
        <w:rPr>
          <w:rFonts w:hint="eastAsia"/>
        </w:rPr>
        <w:t>）有组织排放。</w:t>
      </w:r>
    </w:p>
    <w:p w14:paraId="0D0C48CC">
      <w:pPr>
        <w:pStyle w:val="7"/>
        <w:keepNext w:val="0"/>
        <w:keepLines w:val="0"/>
        <w:pageBreakBefore w:val="0"/>
        <w:numPr>
          <w:ilvl w:val="0"/>
          <w:numId w:val="0"/>
        </w:numPr>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val="en-US" w:eastAsia="zh-CN"/>
        </w:rPr>
        <w:t>）噪声</w:t>
      </w:r>
    </w:p>
    <w:p w14:paraId="0AE582AC">
      <w:pPr>
        <w:bidi w:val="0"/>
        <w:rPr>
          <w:rFonts w:hint="eastAsia"/>
        </w:rPr>
      </w:pPr>
      <w:r>
        <w:rPr>
          <w:rFonts w:hint="eastAsia"/>
        </w:rPr>
        <w:t>项目产生噪声的主要为给料、破碎、筛分等生产设备产生的噪声</w:t>
      </w:r>
      <w:r>
        <w:rPr>
          <w:rFonts w:hint="eastAsia"/>
          <w:lang w:eastAsia="zh-CN"/>
        </w:rPr>
        <w:t>，通过加强对产噪设备的管理，采用厂房隔声、距离衰减等措施以减轻噪声对周围环境噪声的影响。</w:t>
      </w:r>
    </w:p>
    <w:p w14:paraId="767536E6">
      <w:pPr>
        <w:pStyle w:val="7"/>
        <w:keepNext w:val="0"/>
        <w:keepLines w:val="0"/>
        <w:pageBreakBefore w:val="0"/>
        <w:numPr>
          <w:ilvl w:val="0"/>
          <w:numId w:val="0"/>
        </w:numPr>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cs="Times New Roman"/>
          <w:color w:val="auto"/>
          <w:sz w:val="24"/>
          <w:szCs w:val="24"/>
          <w:highlight w:val="none"/>
          <w:lang w:val="en-US" w:eastAsia="zh-CN"/>
        </w:rPr>
        <w:t>四</w:t>
      </w:r>
      <w:r>
        <w:rPr>
          <w:rFonts w:hint="default" w:ascii="Times New Roman" w:hAnsi="Times New Roman" w:eastAsia="宋体" w:cs="Times New Roman"/>
          <w:color w:val="auto"/>
          <w:sz w:val="24"/>
          <w:szCs w:val="24"/>
          <w:highlight w:val="none"/>
          <w:lang w:val="en-US" w:eastAsia="zh-CN"/>
        </w:rPr>
        <w:t>）固体废物</w:t>
      </w:r>
    </w:p>
    <w:p w14:paraId="7451CE0B">
      <w:pPr>
        <w:widowControl w:val="0"/>
        <w:bidi w:val="0"/>
        <w:rPr>
          <w:rFonts w:hint="eastAsia"/>
          <w:lang w:val="en-US" w:eastAsia="zh-CN"/>
        </w:rPr>
      </w:pPr>
      <w:r>
        <w:rPr>
          <w:rFonts w:hint="default"/>
          <w:lang w:val="en-US" w:eastAsia="zh-CN"/>
        </w:rPr>
        <w:t>大厂年破碎加工废石产生的固体废物主要有：筛下灰、废铁屑、废旧布袋、除尘器收集的粉尘（石粉）、过水槽沉淀池污泥（本项目车辆冲洗过程依托矿山项目的过水槽和沉淀池，产生的污泥由矿山项目处理，不纳入本次评价范围）、废机油、废油桶、废含油抹布及生活垃圾。</w:t>
      </w:r>
      <w:r>
        <w:rPr>
          <w:rFonts w:hint="eastAsia"/>
          <w:lang w:val="en-US" w:eastAsia="zh-CN"/>
        </w:rPr>
        <w:t>其中筛下灰、废铁屑、废旧布袋、除尘器收集的粉尘（石粉）不属于危 险废物，属于一般固废。筛下灰、废铁屑、废旧布袋、除尘器收集的粉尘（石粉）暂存于一般固废堆场，集中收集后外售给物资回收单位；废机油、废油桶、含油抹布属于危险废物，暂存于危废库，统一收集后交由有危废处置资质的单位处置；生活垃圾集中收集后由环卫部门统一清运。</w:t>
      </w:r>
    </w:p>
    <w:p w14:paraId="357200D0">
      <w:pPr>
        <w:keepNext w:val="0"/>
        <w:keepLines w:val="0"/>
        <w:pageBreakBefore w:val="0"/>
        <w:kinsoku/>
        <w:wordWrap/>
        <w:overflowPunct/>
        <w:topLinePunct w:val="0"/>
        <w:autoSpaceDE w:val="0"/>
        <w:autoSpaceDN w:val="0"/>
        <w:bidi w:val="0"/>
        <w:adjustRightInd w:val="0"/>
        <w:spacing w:line="360" w:lineRule="auto"/>
        <w:ind w:firstLine="482" w:firstLineChars="200"/>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四、环境保护设施调试效果</w:t>
      </w:r>
    </w:p>
    <w:p w14:paraId="5EE7D680">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污染物排放情况</w:t>
      </w:r>
    </w:p>
    <w:p w14:paraId="7073D004">
      <w:pPr>
        <w:bidi w:val="0"/>
        <w:rPr>
          <w:rFonts w:hint="eastAsia"/>
          <w:lang w:val="en-US" w:eastAsia="zh-CN"/>
        </w:rPr>
      </w:pPr>
      <w:r>
        <w:t>1、废气</w:t>
      </w:r>
      <w:r>
        <w:rPr>
          <w:rFonts w:hint="eastAsia"/>
          <w:lang w:val="en-US" w:eastAsia="zh-CN"/>
        </w:rPr>
        <w:t>治理设施</w:t>
      </w:r>
    </w:p>
    <w:p w14:paraId="6E693438">
      <w:pPr>
        <w:bidi w:val="0"/>
      </w:pPr>
      <w:r>
        <w:rPr>
          <w:rFonts w:hint="eastAsia"/>
          <w:lang w:val="en-US" w:eastAsia="zh-CN"/>
        </w:rPr>
        <w:t>验收监测期间，有组织废气的废气治理设施正常运行，处理后的废气能够满足</w:t>
      </w:r>
      <w:r>
        <w:rPr>
          <w:rFonts w:hint="default"/>
          <w:lang w:val="en-US" w:eastAsia="zh-CN"/>
        </w:rPr>
        <w:t>《大气污染物综合排放标准》（GB16297-1996）中表2新污染源大气污染物排放限值二级要求中相关限值要求。</w:t>
      </w:r>
    </w:p>
    <w:p w14:paraId="07AEF405">
      <w:pPr>
        <w:numPr>
          <w:ilvl w:val="0"/>
          <w:numId w:val="0"/>
        </w:numPr>
        <w:bidi w:val="0"/>
        <w:ind w:firstLine="480" w:firstLineChars="200"/>
        <w:rPr>
          <w:rFonts w:hint="eastAsia"/>
          <w:lang w:val="en-US" w:eastAsia="zh-CN"/>
        </w:rPr>
      </w:pPr>
      <w:r>
        <w:rPr>
          <w:rFonts w:hint="eastAsia" w:cs="Times New Roman"/>
          <w:kern w:val="2"/>
          <w:sz w:val="24"/>
          <w:szCs w:val="24"/>
          <w:lang w:val="en-US" w:eastAsia="zh-CN" w:bidi="ar-SA"/>
        </w:rPr>
        <w:t>2</w:t>
      </w:r>
      <w:r>
        <w:rPr>
          <w:rFonts w:hint="eastAsia" w:ascii="Times New Roman" w:hAnsi="Times New Roman" w:eastAsia="宋体" w:cs="Times New Roman"/>
          <w:kern w:val="2"/>
          <w:sz w:val="24"/>
          <w:szCs w:val="24"/>
          <w:lang w:val="en-US" w:eastAsia="zh-CN" w:bidi="ar-SA"/>
        </w:rPr>
        <w:t>、</w:t>
      </w:r>
      <w:r>
        <w:rPr>
          <w:rFonts w:hint="eastAsia"/>
          <w:lang w:val="en-US" w:eastAsia="zh-CN"/>
        </w:rPr>
        <w:t>无组织废气</w:t>
      </w:r>
    </w:p>
    <w:p w14:paraId="5F430C34">
      <w:pPr>
        <w:bidi w:val="0"/>
        <w:rPr>
          <w:rFonts w:hint="eastAsia"/>
          <w:lang w:val="en-US" w:eastAsia="zh-CN"/>
        </w:rPr>
      </w:pPr>
      <w:r>
        <w:rPr>
          <w:rFonts w:hint="eastAsia"/>
          <w:lang w:val="en-US" w:eastAsia="zh-CN"/>
        </w:rPr>
        <w:t>验收监测期间，下风向无组织颗粒物浓度最大值为</w:t>
      </w:r>
      <w:r>
        <w:rPr>
          <w:rFonts w:hint="eastAsia" w:ascii="Times New Roman" w:hAnsi="Times New Roman" w:cs="Times New Roman"/>
          <w:color w:val="auto"/>
          <w:kern w:val="0"/>
          <w:sz w:val="21"/>
          <w:szCs w:val="21"/>
          <w:highlight w:val="none"/>
          <w:lang w:val="en-US" w:eastAsia="zh-CN" w:bidi="ar-SA"/>
        </w:rPr>
        <w:t>0.652mg/m³，</w:t>
      </w:r>
      <w:r>
        <w:rPr>
          <w:rFonts w:hint="eastAsia"/>
          <w:lang w:val="en-US" w:eastAsia="zh-CN"/>
        </w:rPr>
        <w:t>均满足《大气污染物综合排放标准》（GB16297-1996）中标准限值。</w:t>
      </w:r>
    </w:p>
    <w:p w14:paraId="2C9C5B77">
      <w:pPr>
        <w:bidi w:val="0"/>
        <w:rPr>
          <w:rFonts w:hint="default"/>
          <w:lang w:val="en-US" w:eastAsia="zh-CN"/>
        </w:rPr>
      </w:pPr>
      <w:r>
        <w:rPr>
          <w:rFonts w:hint="eastAsia"/>
          <w:lang w:val="en-US" w:eastAsia="zh-CN"/>
        </w:rPr>
        <w:t>3、噪声</w:t>
      </w:r>
    </w:p>
    <w:p w14:paraId="4AE9B63B">
      <w:pPr>
        <w:bidi w:val="0"/>
      </w:pPr>
      <w:r>
        <w:t>验收监测期间，昼间厂界噪声在50~58dB(A)之间，满足《工业企业厂界环境噪声排放标准》（GB12348-2008）3类标准要求。</w:t>
      </w:r>
    </w:p>
    <w:p w14:paraId="7B3464CA">
      <w:pPr>
        <w:numPr>
          <w:ilvl w:val="0"/>
          <w:numId w:val="0"/>
        </w:numPr>
        <w:bidi w:val="0"/>
        <w:ind w:left="0" w:leftChars="0" w:firstLine="482" w:firstLineChars="200"/>
        <w:rPr>
          <w:rFonts w:hint="eastAsia"/>
          <w:b/>
          <w:bCs/>
          <w:lang w:val="en-US" w:eastAsia="zh-CN"/>
        </w:rPr>
      </w:pPr>
      <w:r>
        <w:rPr>
          <w:rFonts w:hint="eastAsia" w:cs="Times New Roman"/>
          <w:b/>
          <w:bCs/>
          <w:kern w:val="2"/>
          <w:sz w:val="24"/>
          <w:szCs w:val="24"/>
          <w:lang w:val="en-US" w:eastAsia="zh-CN" w:bidi="ar-SA"/>
        </w:rPr>
        <w:t>五</w:t>
      </w:r>
      <w:r>
        <w:rPr>
          <w:rFonts w:hint="eastAsia" w:ascii="Times New Roman" w:hAnsi="Times New Roman" w:eastAsia="宋体" w:cs="Times New Roman"/>
          <w:b/>
          <w:bCs/>
          <w:kern w:val="2"/>
          <w:sz w:val="24"/>
          <w:szCs w:val="24"/>
          <w:lang w:val="en-US" w:eastAsia="zh-CN" w:bidi="ar-SA"/>
        </w:rPr>
        <w:t>、</w:t>
      </w:r>
      <w:r>
        <w:rPr>
          <w:rFonts w:hint="eastAsia"/>
          <w:b/>
          <w:bCs/>
          <w:lang w:val="en-US" w:eastAsia="zh-CN"/>
        </w:rPr>
        <w:t>验收结论</w:t>
      </w:r>
    </w:p>
    <w:p w14:paraId="476714EA">
      <w:pPr>
        <w:bidi w:val="0"/>
        <w:rPr>
          <w:rFonts w:hint="default"/>
          <w:lang w:val="en-US" w:eastAsia="zh-CN"/>
        </w:rPr>
      </w:pPr>
      <w:r>
        <w:rPr>
          <w:rFonts w:hint="eastAsia"/>
        </w:rPr>
        <w:t>安徽牛山矿山科技有限公司资源综合利用及环境提升改造项目</w:t>
      </w:r>
      <w:r>
        <w:rPr>
          <w:rFonts w:hint="default"/>
          <w:lang w:val="en-US" w:eastAsia="zh-CN"/>
        </w:rPr>
        <w:t>较好地执行了环境影响评价制度和环保“三同时”制度，项目建设内容按照环评报告书及相关审批决定要求基本落实了污染防治措施，主要污染物达标排放，符合总量控制指标要求，完成排污许可证重新申请工作，不存在《建设项目竣工环境保护验收暂行办法》中九条不予验收的情形，本项目竣工环境保护验收合格。</w:t>
      </w:r>
    </w:p>
    <w:p w14:paraId="3DC5E721">
      <w:pPr>
        <w:bidi w:val="0"/>
        <w:rPr>
          <w:rFonts w:hint="default"/>
          <w:b/>
          <w:bCs/>
          <w:lang w:val="en-US" w:eastAsia="zh-CN"/>
        </w:rPr>
      </w:pPr>
      <w:r>
        <w:rPr>
          <w:rFonts w:hint="eastAsia"/>
          <w:b/>
          <w:bCs/>
          <w:lang w:val="en-US" w:eastAsia="zh-CN"/>
        </w:rPr>
        <w:t>六、</w:t>
      </w:r>
      <w:r>
        <w:rPr>
          <w:rFonts w:hint="default"/>
          <w:b/>
          <w:bCs/>
          <w:lang w:val="en-US" w:eastAsia="zh-CN"/>
        </w:rPr>
        <w:t>后续要求</w:t>
      </w:r>
    </w:p>
    <w:p w14:paraId="0110DA3E">
      <w:pPr>
        <w:numPr>
          <w:ilvl w:val="0"/>
          <w:numId w:val="4"/>
        </w:numPr>
        <w:bidi w:val="0"/>
        <w:rPr>
          <w:rFonts w:hint="default"/>
          <w:lang w:val="en-US" w:eastAsia="zh-CN"/>
        </w:rPr>
      </w:pPr>
      <w:bookmarkStart w:id="0" w:name="_Toc22694"/>
      <w:bookmarkStart w:id="1" w:name="_Toc11059"/>
      <w:r>
        <w:rPr>
          <w:rFonts w:hint="default"/>
          <w:lang w:val="en-US" w:eastAsia="zh-CN"/>
        </w:rPr>
        <w:t>加强环境监管，环保设备的维护，确保各项污染治理设施正常运转，确保各种污染物都能达标排放，做好相关台账记录；</w:t>
      </w:r>
      <w:bookmarkEnd w:id="0"/>
      <w:bookmarkEnd w:id="1"/>
    </w:p>
    <w:p w14:paraId="4B2BEE7A">
      <w:pPr>
        <w:numPr>
          <w:ilvl w:val="0"/>
          <w:numId w:val="4"/>
        </w:numPr>
        <w:bidi w:val="0"/>
        <w:rPr>
          <w:rFonts w:hint="default"/>
          <w:lang w:val="en-US" w:eastAsia="zh-CN"/>
        </w:rPr>
      </w:pPr>
      <w:bookmarkStart w:id="2" w:name="_Toc16050"/>
      <w:bookmarkStart w:id="3" w:name="_Toc17668"/>
      <w:r>
        <w:rPr>
          <w:rFonts w:hint="default"/>
          <w:lang w:val="en-US" w:eastAsia="zh-CN"/>
        </w:rPr>
        <w:t>建立严格的管理制度，落实岗位责任制，加强现场管理</w:t>
      </w:r>
      <w:bookmarkEnd w:id="2"/>
      <w:bookmarkEnd w:id="3"/>
      <w:r>
        <w:rPr>
          <w:rFonts w:hint="eastAsia"/>
          <w:lang w:val="en-US" w:eastAsia="zh-CN"/>
        </w:rPr>
        <w:t>。</w:t>
      </w:r>
    </w:p>
    <w:p w14:paraId="081DFE0F">
      <w:pPr>
        <w:bidi w:val="0"/>
        <w:rPr>
          <w:rFonts w:hint="default"/>
          <w:b/>
          <w:bCs/>
        </w:rPr>
      </w:pPr>
      <w:r>
        <w:rPr>
          <w:rFonts w:hint="eastAsia"/>
          <w:b/>
          <w:bCs/>
          <w:lang w:val="en-US" w:eastAsia="zh-CN"/>
        </w:rPr>
        <w:t>七</w:t>
      </w:r>
      <w:r>
        <w:rPr>
          <w:rFonts w:hint="default"/>
          <w:b/>
          <w:bCs/>
        </w:rPr>
        <w:t>、验收人员信息</w:t>
      </w:r>
    </w:p>
    <w:p w14:paraId="18563793">
      <w:pPr>
        <w:bidi w:val="0"/>
        <w:rPr>
          <w:rFonts w:hint="default"/>
        </w:rPr>
      </w:pPr>
      <w:r>
        <w:rPr>
          <w:rFonts w:hint="default"/>
        </w:rPr>
        <w:t>验收工作组名单附后。</w:t>
      </w:r>
    </w:p>
    <w:p w14:paraId="33149A1F">
      <w:pPr>
        <w:pStyle w:val="17"/>
        <w:rPr>
          <w:rFonts w:hint="default"/>
          <w:lang w:val="en-US" w:eastAsia="zh-CN"/>
        </w:rPr>
      </w:pPr>
    </w:p>
    <w:p w14:paraId="03F9B88B">
      <w:pPr>
        <w:bidi w:val="0"/>
        <w:jc w:val="right"/>
        <w:rPr>
          <w:rFonts w:hint="eastAsia"/>
        </w:rPr>
      </w:pPr>
      <w:r>
        <w:rPr>
          <w:rFonts w:hint="eastAsia"/>
        </w:rPr>
        <w:t>安徽牛山矿山科技有限公司</w:t>
      </w:r>
    </w:p>
    <w:p w14:paraId="570C5110">
      <w:pPr>
        <w:bidi w:val="0"/>
        <w:rPr>
          <w:rFonts w:hint="eastAsia"/>
          <w:lang w:val="en-US" w:eastAsia="zh-CN"/>
        </w:rPr>
      </w:pPr>
      <w:r>
        <w:rPr>
          <w:rFonts w:hint="eastAsia"/>
          <w:lang w:val="en-US" w:eastAsia="zh-CN"/>
        </w:rPr>
        <w:t xml:space="preserve">                                                     2026年4月30日</w:t>
      </w:r>
    </w:p>
    <w:p w14:paraId="14686588">
      <w:pPr>
        <w:ind w:left="0" w:leftChars="0" w:firstLine="0" w:firstLineChars="0"/>
        <w:rPr>
          <w:rFonts w:hint="eastAsia"/>
          <w:lang w:val="en-US" w:eastAsia="zh-CN"/>
        </w:rPr>
      </w:pPr>
      <w:r>
        <w:rPr>
          <w:rFonts w:hint="eastAsia"/>
          <w:lang w:val="en-US" w:eastAsia="zh-CN"/>
        </w:rPr>
        <w:br w:type="page"/>
      </w:r>
      <w:bookmarkStart w:id="4" w:name="_GoBack"/>
      <w:r>
        <w:rPr>
          <w:rFonts w:hint="eastAsia"/>
          <w:b/>
          <w:bCs/>
          <w:lang w:val="en-US" w:eastAsia="zh-CN"/>
        </w:rPr>
        <w:t>验收工作会议签到表：</w:t>
      </w:r>
      <w:bookmarkEnd w:id="4"/>
    </w:p>
    <w:p w14:paraId="227F74E0">
      <w:pPr>
        <w:pStyle w:val="2"/>
        <w:spacing w:line="240" w:lineRule="auto"/>
        <w:ind w:left="0" w:leftChars="0" w:firstLine="0" w:firstLineChars="0"/>
        <w:jc w:val="center"/>
        <w:rPr>
          <w:rFonts w:hint="default"/>
          <w:lang w:val="en-US" w:eastAsia="zh-CN"/>
        </w:rPr>
      </w:pPr>
      <w:r>
        <w:rPr>
          <w:rFonts w:hint="default"/>
          <w:lang w:val="en-US" w:eastAsia="zh-CN"/>
        </w:rPr>
        <w:drawing>
          <wp:inline distT="0" distB="0" distL="114300" distR="114300">
            <wp:extent cx="5627370" cy="7903845"/>
            <wp:effectExtent l="0" t="0" r="11430" b="1905"/>
            <wp:docPr id="1" name="图片 1" descr="59bb636fdcede82268adf6e8e5460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9bb636fdcede82268adf6e8e54608f4"/>
                    <pic:cNvPicPr>
                      <a:picLocks noChangeAspect="1"/>
                    </pic:cNvPicPr>
                  </pic:nvPicPr>
                  <pic:blipFill>
                    <a:blip r:embed="rId6"/>
                    <a:srcRect l="2153" t="1137" r="2164" b="2748"/>
                    <a:stretch>
                      <a:fillRect/>
                    </a:stretch>
                  </pic:blipFill>
                  <pic:spPr>
                    <a:xfrm>
                      <a:off x="0" y="0"/>
                      <a:ext cx="5627370" cy="7903845"/>
                    </a:xfrm>
                    <a:prstGeom prst="rect">
                      <a:avLst/>
                    </a:prstGeom>
                  </pic:spPr>
                </pic:pic>
              </a:graphicData>
            </a:graphic>
          </wp:inline>
        </w:drawing>
      </w:r>
    </w:p>
    <w:p w14:paraId="305F10F9">
      <w:pPr>
        <w:pStyle w:val="2"/>
        <w:ind w:left="0" w:leftChars="0" w:firstLine="0" w:firstLineChars="0"/>
        <w:rPr>
          <w:rFonts w:hint="default"/>
          <w:lang w:val="en-US" w:eastAsia="zh-CN"/>
        </w:rPr>
      </w:pPr>
    </w:p>
    <w:sectPr>
      <w:pgSz w:w="11906" w:h="16838"/>
      <w:pgMar w:top="1417" w:right="1417" w:bottom="1417"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39D30E"/>
    <w:multiLevelType w:val="singleLevel"/>
    <w:tmpl w:val="BE39D30E"/>
    <w:lvl w:ilvl="0" w:tentative="0">
      <w:start w:val="1"/>
      <w:numFmt w:val="decimal"/>
      <w:suff w:val="nothing"/>
      <w:lvlText w:val="（%1）"/>
      <w:lvlJc w:val="left"/>
    </w:lvl>
  </w:abstractNum>
  <w:abstractNum w:abstractNumId="1">
    <w:nsid w:val="C05B9DAC"/>
    <w:multiLevelType w:val="singleLevel"/>
    <w:tmpl w:val="C05B9DAC"/>
    <w:lvl w:ilvl="0" w:tentative="0">
      <w:start w:val="1"/>
      <w:numFmt w:val="chineseCounting"/>
      <w:suff w:val="nothing"/>
      <w:lvlText w:val="（%1）"/>
      <w:lvlJc w:val="left"/>
      <w:rPr>
        <w:rFonts w:hint="eastAsia"/>
      </w:rPr>
    </w:lvl>
  </w:abstractNum>
  <w:abstractNum w:abstractNumId="2">
    <w:nsid w:val="3D44F65F"/>
    <w:multiLevelType w:val="singleLevel"/>
    <w:tmpl w:val="3D44F65F"/>
    <w:lvl w:ilvl="0" w:tentative="0">
      <w:start w:val="1"/>
      <w:numFmt w:val="decimal"/>
      <w:suff w:val="nothing"/>
      <w:lvlText w:val="%1、"/>
      <w:lvlJc w:val="left"/>
    </w:lvl>
  </w:abstractNum>
  <w:abstractNum w:abstractNumId="3">
    <w:nsid w:val="53A967AA"/>
    <w:multiLevelType w:val="singleLevel"/>
    <w:tmpl w:val="53A967AA"/>
    <w:lvl w:ilvl="0" w:tentative="0">
      <w:start w:val="4"/>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2A3E4F"/>
    <w:rsid w:val="00F009B2"/>
    <w:rsid w:val="02776E5B"/>
    <w:rsid w:val="0B6C6D73"/>
    <w:rsid w:val="372A3E4F"/>
    <w:rsid w:val="3C3527D5"/>
    <w:rsid w:val="43823826"/>
    <w:rsid w:val="58F84D0C"/>
    <w:rsid w:val="5FE22722"/>
    <w:rsid w:val="63695461"/>
    <w:rsid w:val="63BF09C3"/>
    <w:rsid w:val="6C9953C7"/>
    <w:rsid w:val="71F33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spacing w:line="480" w:lineRule="exact"/>
      <w:ind w:firstLine="64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autoSpaceDE w:val="0"/>
      <w:autoSpaceDN w:val="0"/>
      <w:spacing w:beforeAutospacing="0" w:afterAutospacing="0" w:line="480" w:lineRule="exact"/>
      <w:ind w:firstLine="0" w:firstLineChars="0"/>
      <w:jc w:val="center"/>
      <w:outlineLvl w:val="0"/>
    </w:pPr>
    <w:rPr>
      <w:rFonts w:hint="eastAsia" w:ascii="宋体" w:hAnsi="宋体" w:eastAsia="黑体"/>
      <w:kern w:val="44"/>
      <w:sz w:val="36"/>
      <w:szCs w:val="48"/>
    </w:rPr>
  </w:style>
  <w:style w:type="paragraph" w:styleId="4">
    <w:name w:val="heading 2"/>
    <w:basedOn w:val="1"/>
    <w:next w:val="1"/>
    <w:semiHidden/>
    <w:unhideWhenUsed/>
    <w:qFormat/>
    <w:uiPriority w:val="0"/>
    <w:pPr>
      <w:keepNext/>
      <w:keepLines/>
      <w:autoSpaceDE w:val="0"/>
      <w:autoSpaceDN w:val="0"/>
      <w:spacing w:beforeLines="0" w:beforeAutospacing="0" w:afterLines="0" w:afterAutospacing="0" w:line="480" w:lineRule="exact"/>
      <w:jc w:val="both"/>
      <w:outlineLvl w:val="1"/>
    </w:pPr>
    <w:rPr>
      <w:rFonts w:ascii="Arial" w:hAnsi="Arial" w:eastAsia="黑体"/>
      <w:sz w:val="28"/>
    </w:rPr>
  </w:style>
  <w:style w:type="paragraph" w:styleId="5">
    <w:name w:val="heading 3"/>
    <w:basedOn w:val="1"/>
    <w:next w:val="1"/>
    <w:semiHidden/>
    <w:unhideWhenUsed/>
    <w:qFormat/>
    <w:uiPriority w:val="0"/>
    <w:pPr>
      <w:keepNext/>
      <w:keepLines/>
      <w:autoSpaceDE w:val="0"/>
      <w:autoSpaceDN w:val="0"/>
      <w:spacing w:beforeLines="0" w:beforeAutospacing="0" w:afterLines="0" w:afterAutospacing="0" w:line="480" w:lineRule="exact"/>
      <w:outlineLvl w:val="2"/>
    </w:pPr>
    <w:rPr>
      <w:rFonts w:eastAsia="黑体"/>
    </w:rPr>
  </w:style>
  <w:style w:type="paragraph" w:styleId="6">
    <w:name w:val="heading 4"/>
    <w:basedOn w:val="1"/>
    <w:next w:val="1"/>
    <w:semiHidden/>
    <w:unhideWhenUsed/>
    <w:qFormat/>
    <w:uiPriority w:val="0"/>
    <w:pPr>
      <w:keepNext/>
      <w:keepLines/>
      <w:spacing w:beforeLines="0" w:beforeAutospacing="0" w:afterLines="0" w:afterAutospacing="0" w:line="480" w:lineRule="exact"/>
      <w:outlineLvl w:val="3"/>
    </w:pPr>
    <w:rPr>
      <w:rFonts w:ascii="Arial" w:hAnsi="Arial"/>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rPr>
      <w:sz w:val="24"/>
    </w:rPr>
  </w:style>
  <w:style w:type="paragraph" w:styleId="7">
    <w:name w:val="Normal Indent"/>
    <w:basedOn w:val="1"/>
    <w:next w:val="8"/>
    <w:qFormat/>
    <w:uiPriority w:val="0"/>
    <w:pPr>
      <w:spacing w:line="500" w:lineRule="exact"/>
      <w:ind w:firstLine="200" w:firstLineChars="200"/>
    </w:pPr>
    <w:rPr>
      <w:rFonts w:ascii="宋体" w:hAnsi="Times New Roman" w:eastAsia="宋体" w:cs="Times New Roman"/>
      <w:sz w:val="28"/>
      <w:szCs w:val="20"/>
    </w:rPr>
  </w:style>
  <w:style w:type="paragraph" w:styleId="8">
    <w:name w:val="Body Text First Indent 2"/>
    <w:basedOn w:val="1"/>
    <w:next w:val="1"/>
    <w:qFormat/>
    <w:uiPriority w:val="0"/>
    <w:pPr>
      <w:ind w:firstLine="420"/>
    </w:pPr>
    <w:rPr>
      <w:rFonts w:ascii="Arial" w:hAnsi="Arial" w:eastAsia="宋体" w:cs="Times New Roman"/>
      <w:snapToGrid w:val="0"/>
      <w:szCs w:val="32"/>
      <w:lang w:val="en-US" w:eastAsia="zh-CN" w:bidi="ar-SA"/>
    </w:rPr>
  </w:style>
  <w:style w:type="paragraph" w:styleId="9">
    <w:name w:val="annotation text"/>
    <w:basedOn w:val="1"/>
    <w:unhideWhenUsed/>
    <w:qFormat/>
    <w:uiPriority w:val="0"/>
    <w:pPr>
      <w:jc w:val="left"/>
    </w:pPr>
    <w:rPr>
      <w:szCs w:val="24"/>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内文字"/>
    <w:qFormat/>
    <w:uiPriority w:val="0"/>
    <w:pPr>
      <w:widowControl w:val="0"/>
      <w:autoSpaceDE/>
      <w:autoSpaceDN/>
      <w:adjustRightInd w:val="0"/>
      <w:jc w:val="center"/>
    </w:pPr>
    <w:rPr>
      <w:rFonts w:ascii="Times New Roman" w:hAnsi="Times New Roman" w:eastAsia="宋体" w:cs="黑体"/>
      <w:color w:val="000000"/>
      <w:sz w:val="21"/>
      <w:szCs w:val="24"/>
      <w:lang w:val="en-US" w:eastAsia="zh-CN" w:bidi="ar-SA"/>
    </w:rPr>
  </w:style>
  <w:style w:type="paragraph" w:customStyle="1" w:styleId="15">
    <w:name w:val="表头，图标"/>
    <w:basedOn w:val="3"/>
    <w:next w:val="1"/>
    <w:qFormat/>
    <w:uiPriority w:val="0"/>
    <w:pPr>
      <w:widowControl/>
      <w:spacing w:beforeAutospacing="0" w:afterAutospacing="0" w:line="480" w:lineRule="exact"/>
      <w:ind w:firstLine="0" w:firstLineChars="0"/>
      <w:jc w:val="center"/>
      <w:outlineLvl w:val="9"/>
    </w:pPr>
    <w:rPr>
      <w:rFonts w:ascii="黑体" w:hAnsi="黑体"/>
      <w:color w:val="000000" w:themeColor="text1"/>
      <w:kern w:val="0"/>
      <w:sz w:val="24"/>
      <w:szCs w:val="32"/>
      <w14:textFill>
        <w14:solidFill>
          <w14:schemeClr w14:val="tx1"/>
        </w14:solidFill>
      </w14:textFill>
    </w:rPr>
  </w:style>
  <w:style w:type="character" w:customStyle="1" w:styleId="16">
    <w:name w:val="fontstyle01"/>
    <w:basedOn w:val="13"/>
    <w:qFormat/>
    <w:uiPriority w:val="0"/>
    <w:rPr>
      <w:rFonts w:hint="eastAsia" w:ascii="宋体" w:hAnsi="宋体" w:eastAsia="宋体"/>
      <w:color w:val="000000"/>
      <w:sz w:val="24"/>
      <w:szCs w:val="24"/>
    </w:rPr>
  </w:style>
  <w:style w:type="paragraph" w:customStyle="1" w:styleId="17">
    <w:name w:val="Default"/>
    <w:autoRedefine/>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8">
    <w:name w:val="！正文"/>
    <w:qFormat/>
    <w:uiPriority w:val="0"/>
    <w:pPr>
      <w:widowControl w:val="0"/>
      <w:spacing w:line="360" w:lineRule="auto"/>
      <w:ind w:firstLine="200" w:firstLineChars="200"/>
      <w:jc w:val="both"/>
    </w:pPr>
    <w:rPr>
      <w:rFonts w:ascii="Times New Roman" w:hAnsi="Times New Roman" w:eastAsia="宋体" w:cs="Times New Roman"/>
      <w:color w:val="000000"/>
      <w:kern w:val="2"/>
      <w:sz w:val="24"/>
      <w:szCs w:val="30"/>
      <w:lang w:val="en-US" w:eastAsia="zh-CN" w:bidi="ar-SA"/>
    </w:rPr>
  </w:style>
  <w:style w:type="table" w:customStyle="1" w:styleId="1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3</TotalTime>
  <ScaleCrop>false</ScaleCrop>
  <LinksUpToDate>false</LinksUpToDate>
  <CharactersWithSpaces>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2026-05-06T07:48:00Z</dcterms:created>
  <dc:creator>user</dc:creator>
  <cp:lastModifiedBy>user</cp:lastModifiedBy>
  <dcterms:modified xsi:type="dcterms:W3CDTF">2026-05-06T08:52:27Z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3375932885894211BC2E5B0F3723BC8A_11</vt:lpwstr>
  </property>
</Properties>
</file>